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3E9EF" w14:textId="77777777" w:rsidR="00840A08" w:rsidRDefault="00840A08" w:rsidP="00735C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6615014C" w14:textId="77777777" w:rsidR="002D15D0" w:rsidRDefault="002D15D0" w:rsidP="00735C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6D20496F" w14:textId="49B6A40B" w:rsidR="00C904FE" w:rsidRPr="0017538A" w:rsidRDefault="00C904FE" w:rsidP="00FE6965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17538A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Modèle</w:t>
      </w:r>
      <w:r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s</w:t>
      </w:r>
      <w:r w:rsidRPr="0017538A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 économique</w:t>
      </w:r>
      <w:r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s</w:t>
      </w:r>
      <w:r w:rsidR="00FE6965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 Solar Commuter Quad</w:t>
      </w:r>
    </w:p>
    <w:p w14:paraId="2CD0DE5F" w14:textId="77777777" w:rsidR="00FE6965" w:rsidRDefault="00FE6965" w:rsidP="00C904F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0AAE0A16" w14:textId="7EC02824" w:rsidR="00C904FE" w:rsidRPr="0017538A" w:rsidRDefault="00C904FE" w:rsidP="00C904F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 xml:space="preserve">Solar Commuter Quad s’adressera à plusieurs types de cibles </w:t>
      </w:r>
    </w:p>
    <w:p w14:paraId="51C5A19E" w14:textId="77777777" w:rsidR="00C904FE" w:rsidRDefault="00C904FE" w:rsidP="00C904F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>Les collectivités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des zones 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 xml:space="preserve">rurales et suburbaines pour une offre de mobilité 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en autopartage 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>destiné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e aux habitants des communes concernées, avec une attention particulière 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>aux publics en précarité de mobilité</w:t>
      </w:r>
    </w:p>
    <w:p w14:paraId="25D60A02" w14:textId="77777777" w:rsidR="00C904FE" w:rsidRPr="0017538A" w:rsidRDefault="00C904FE" w:rsidP="00C904FE">
      <w:pPr>
        <w:pStyle w:val="Paragraphedeliste"/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1F4ABFE0" w14:textId="77777777" w:rsidR="00C904FE" w:rsidRDefault="00C904FE" w:rsidP="00C904F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Les entreprises des zones 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>rurales et suburbaines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pour une offre de mobilité en autopartage destinée aux salariés</w:t>
      </w:r>
    </w:p>
    <w:p w14:paraId="11AFC35A" w14:textId="77777777" w:rsidR="00C904FE" w:rsidRPr="00FD7D41" w:rsidRDefault="00C904FE" w:rsidP="00C904FE">
      <w:pPr>
        <w:pStyle w:val="Paragraphedeliste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1EE61868" w14:textId="77777777" w:rsidR="00C904FE" w:rsidRPr="0017538A" w:rsidRDefault="00C904FE" w:rsidP="00C904FE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>Le grand public habitant les zones rurales et suburbaines.</w:t>
      </w:r>
    </w:p>
    <w:p w14:paraId="7C4316E8" w14:textId="77777777" w:rsidR="00C904FE" w:rsidRPr="0017538A" w:rsidRDefault="00C904FE" w:rsidP="00C904FE">
      <w:pPr>
        <w:pStyle w:val="Paragraphedeliste"/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34D2CD46" w14:textId="77777777" w:rsidR="00C904FE" w:rsidRPr="00263C31" w:rsidRDefault="00C904FE" w:rsidP="00C904F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263C31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Trois modèles économiques seront proposés :</w:t>
      </w:r>
    </w:p>
    <w:p w14:paraId="1619CE2C" w14:textId="5259C88F" w:rsidR="00C904FE" w:rsidRDefault="00C904FE" w:rsidP="00C904FE">
      <w:pPr>
        <w:pStyle w:val="Paragraphedeliste"/>
        <w:numPr>
          <w:ilvl w:val="0"/>
          <w:numId w:val="11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Acquisition au prix cible de 7500 </w:t>
      </w:r>
      <w:r w:rsidR="00324B22"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TTC</w:t>
      </w:r>
    </w:p>
    <w:p w14:paraId="77073C5B" w14:textId="393B0B94" w:rsidR="00C904FE" w:rsidRPr="00F707A2" w:rsidRDefault="00C904FE" w:rsidP="00C904FE">
      <w:pPr>
        <w:pStyle w:val="Paragraphedeliste"/>
        <w:numPr>
          <w:ilvl w:val="0"/>
          <w:numId w:val="11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Location longue durée (LLD) au prix de 150 </w:t>
      </w:r>
      <w:r w:rsidR="00324B22"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/ mois apres un premier loyer de 1000 </w:t>
      </w:r>
      <w:r w:rsidR="00324B22"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</w:p>
    <w:p w14:paraId="6BA36F1C" w14:textId="1B42EC85" w:rsidR="00C904FE" w:rsidRDefault="00C904FE" w:rsidP="00C904FE">
      <w:pPr>
        <w:pStyle w:val="Paragraphedeliste"/>
        <w:numPr>
          <w:ilvl w:val="0"/>
          <w:numId w:val="11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Utilisation en autopartage facturée à la durée : 0.30 </w:t>
      </w:r>
      <w:r w:rsidR="00324B22"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/ minute avec un minimum de 5 </w:t>
      </w:r>
      <w:r w:rsidR="00324B22"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. Des abonnements, système</w:t>
      </w:r>
      <w:r w:rsidR="005972CC"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dégressifs et tarifs préférentiels pour les publics en précarité de mobilité seront étudiés avec les collectivités.</w:t>
      </w:r>
    </w:p>
    <w:p w14:paraId="77EA6F58" w14:textId="5F1DB358" w:rsidR="00C904FE" w:rsidRPr="00F707A2" w:rsidRDefault="00C904FE" w:rsidP="00C904F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F707A2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Innovations</w:t>
      </w:r>
      <w:r w:rsidR="0035421A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 possibles au niveau du modèle économique</w:t>
      </w:r>
      <w:r w:rsidRPr="00F707A2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  </w:t>
      </w:r>
    </w:p>
    <w:p w14:paraId="77BE6BA4" w14:textId="0F7EFC13" w:rsidR="00C904FE" w:rsidRDefault="00C904FE" w:rsidP="00C904F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Pour le grand public, i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 xml:space="preserve">l 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pourra etre 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>proposé de remplacer la deuxieme voiture du foyer par un Solar Commuter Quad, financé</w:t>
      </w:r>
      <w:r w:rsidR="0046242F">
        <w:rPr>
          <w:rFonts w:ascii="Arial" w:eastAsia="Times New Roman" w:hAnsi="Arial" w:cs="Arial"/>
          <w:kern w:val="0"/>
          <w:lang w:eastAsia="fr-FR"/>
          <w14:ligatures w14:val="none"/>
        </w:rPr>
        <w:t xml:space="preserve"> pour tout ou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 xml:space="preserve"> partie par la vente de la voiture. Un partenariat avec un service de vente de voiture 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sécurisé </w:t>
      </w:r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 xml:space="preserve">du type </w:t>
      </w:r>
      <w:proofErr w:type="spellStart"/>
      <w:r w:rsidRPr="0075419B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Autosphere</w:t>
      </w:r>
      <w:proofErr w:type="spellEnd"/>
      <w:r w:rsidRPr="0017538A">
        <w:rPr>
          <w:rFonts w:ascii="Arial" w:eastAsia="Times New Roman" w:hAnsi="Arial" w:cs="Arial"/>
          <w:kern w:val="0"/>
          <w:lang w:eastAsia="fr-FR"/>
          <w14:ligatures w14:val="none"/>
        </w:rPr>
        <w:t xml:space="preserve"> sera envisagée.</w:t>
      </w:r>
    </w:p>
    <w:p w14:paraId="6CBD364D" w14:textId="3216F44F" w:rsidR="00FE6965" w:rsidRDefault="00C904FE" w:rsidP="00C904F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Pour les collectivités qui mettront en place une flotte en autopartage, un partenariat pourra etre envisagé avec un producteur d’énergie renouvelable du type </w:t>
      </w:r>
      <w:proofErr w:type="spellStart"/>
      <w:r w:rsidRPr="000B3CF9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Enercoop</w:t>
      </w:r>
      <w:proofErr w:type="spellEnd"/>
      <w:r>
        <w:rPr>
          <w:rFonts w:ascii="Arial" w:eastAsia="Times New Roman" w:hAnsi="Arial" w:cs="Arial"/>
          <w:kern w:val="0"/>
          <w:lang w:eastAsia="fr-FR"/>
          <w14:ligatures w14:val="none"/>
        </w:rPr>
        <w:t>, afin de générer des revenus liés à la revente du surplus de production solaire et de fournir une offre d’électricité verte pour la recharge sur secteur du parc de Solar Commuter Quad</w:t>
      </w:r>
      <w:r w:rsidR="0046242F">
        <w:rPr>
          <w:rFonts w:ascii="Arial" w:eastAsia="Times New Roman" w:hAnsi="Arial" w:cs="Arial"/>
          <w:kern w:val="0"/>
          <w:lang w:eastAsia="fr-FR"/>
          <w14:ligatures w14:val="none"/>
        </w:rPr>
        <w:t xml:space="preserve"> quand l’ensoleillement est insuffisant.</w:t>
      </w:r>
    </w:p>
    <w:p w14:paraId="35A74122" w14:textId="77777777" w:rsidR="00FE6965" w:rsidRDefault="00FE6965">
      <w:pPr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br w:type="page"/>
      </w:r>
    </w:p>
    <w:p w14:paraId="206E2B33" w14:textId="04EC2D3A" w:rsidR="00FE6965" w:rsidRPr="00C904FE" w:rsidRDefault="00FE6965" w:rsidP="00FE696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u w:val="single"/>
          <w:lang w:eastAsia="fr-FR"/>
          <w14:ligatures w14:val="none"/>
        </w:rPr>
      </w:pPr>
      <w:r w:rsidRPr="00C904FE">
        <w:rPr>
          <w:rFonts w:ascii="Arial" w:eastAsia="Times New Roman" w:hAnsi="Arial" w:cs="Arial"/>
          <w:kern w:val="0"/>
          <w:u w:val="single"/>
          <w:lang w:eastAsia="fr-FR"/>
          <w14:ligatures w14:val="none"/>
        </w:rPr>
        <w:lastRenderedPageBreak/>
        <w:t>Bénéfices financiers et écologiques de l’autoconsommation (option V2G, V2H)</w:t>
      </w:r>
    </w:p>
    <w:p w14:paraId="3D7C0E62" w14:textId="77777777" w:rsidR="00FE6965" w:rsidRDefault="00FE6965" w:rsidP="00FE6965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EA792E">
        <w:rPr>
          <w:rFonts w:ascii="Arial" w:eastAsia="Times New Roman" w:hAnsi="Arial" w:cs="Arial"/>
          <w:kern w:val="0"/>
          <w:lang w:eastAsia="fr-FR"/>
          <w14:ligatures w14:val="none"/>
        </w:rPr>
        <w:t xml:space="preserve">Un bénéfice financier additionnel de 35 EUR à 90 </w:t>
      </w:r>
      <w:proofErr w:type="spellStart"/>
      <w:r w:rsidRPr="00EA792E"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  <w:proofErr w:type="spellEnd"/>
      <w:r w:rsidRPr="00EA792E">
        <w:rPr>
          <w:rFonts w:ascii="Arial" w:eastAsia="Times New Roman" w:hAnsi="Arial" w:cs="Arial"/>
          <w:kern w:val="0"/>
          <w:lang w:eastAsia="fr-FR"/>
          <w14:ligatures w14:val="none"/>
        </w:rPr>
        <w:t xml:space="preserve"> par an pourra etre constaté pour une utilisation entre 2500 et  5000 Km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, correspondant à l’autoconsommation des KWH du surplus solaire</w:t>
      </w:r>
    </w:p>
    <w:p w14:paraId="5B408AAF" w14:textId="77777777" w:rsidR="00FE6965" w:rsidRPr="00BA64F5" w:rsidRDefault="00FE6965" w:rsidP="00FE6965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BA64F5">
        <w:rPr>
          <w:rFonts w:ascii="Arial" w:eastAsia="Times New Roman" w:hAnsi="Arial" w:cs="Arial"/>
          <w:kern w:val="0"/>
          <w:lang w:eastAsia="fr-FR"/>
          <w14:ligatures w14:val="none"/>
        </w:rPr>
        <w:t>Un bénéfice d’émissions carbone évitées de 70 à 100 Kg de CO2 pourra également etre constaté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, correspondant aux KWH autoconsommés.</w:t>
      </w:r>
    </w:p>
    <w:p w14:paraId="3F90D8A4" w14:textId="56E4C384" w:rsidR="00FE6965" w:rsidRPr="00C904FE" w:rsidRDefault="00FE6965" w:rsidP="00FE696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u w:val="single"/>
          <w:lang w:eastAsia="fr-FR"/>
          <w14:ligatures w14:val="none"/>
        </w:rPr>
      </w:pPr>
      <w:r w:rsidRPr="00C904FE">
        <w:rPr>
          <w:rFonts w:ascii="Arial" w:eastAsia="Times New Roman" w:hAnsi="Arial" w:cs="Arial"/>
          <w:kern w:val="0"/>
          <w:u w:val="single"/>
          <w:lang w:eastAsia="fr-FR"/>
          <w14:ligatures w14:val="none"/>
        </w:rPr>
        <w:t>Gains financiers et écologiques par rapport à la voiture individuelle</w:t>
      </w:r>
    </w:p>
    <w:p w14:paraId="32D3E7BE" w14:textId="77777777" w:rsidR="00FE6965" w:rsidRDefault="00FE6965" w:rsidP="00FE696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Solar Commuter Quad permettra de générer une économie annuelle de 500 à 1700 </w:t>
      </w:r>
      <w:proofErr w:type="spellStart"/>
      <w:r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  <w:proofErr w:type="spellEnd"/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par rapport à la voiture thermique et d’eviter entre 300 kg et 1800 kg d’émission de CO2, en fonction du kilométrage parcouru. Pour une utilisation cible de 5000 km / an, le gain financier pour l’utilisateur est de 1091 </w:t>
      </w:r>
      <w:proofErr w:type="spellStart"/>
      <w:r>
        <w:rPr>
          <w:rFonts w:ascii="Arial" w:eastAsia="Times New Roman" w:hAnsi="Arial" w:cs="Arial"/>
          <w:kern w:val="0"/>
          <w:lang w:eastAsia="fr-FR"/>
          <w14:ligatures w14:val="none"/>
        </w:rPr>
        <w:t>Eur</w:t>
      </w:r>
      <w:proofErr w:type="spellEnd"/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/ an et les émissions de CO2 évitées sont de 969 kg.</w:t>
      </w:r>
    </w:p>
    <w:p w14:paraId="066E278A" w14:textId="77777777" w:rsidR="00FE6965" w:rsidRDefault="00FE6965" w:rsidP="00FE696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Les équations économique et carbone s’établissent comme suit :</w:t>
      </w:r>
    </w:p>
    <w:p w14:paraId="4AEF7F7F" w14:textId="77777777" w:rsidR="00FE6965" w:rsidRPr="00B03849" w:rsidRDefault="00FE6965" w:rsidP="00FE6965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B03849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Gains financier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 xml:space="preserve"> = (Cout carburant voiture + cout entretien) – (cout recharges secteur SC Quad – bénéfices autoconsommation + cout entretien 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 xml:space="preserve">C Quad) </w:t>
      </w:r>
    </w:p>
    <w:p w14:paraId="60FB04F9" w14:textId="77777777" w:rsidR="00FE6965" w:rsidRPr="00B03849" w:rsidRDefault="00FE6965" w:rsidP="00FE6965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B03849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Gains carbone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 xml:space="preserve"> = (Emission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 xml:space="preserve"> carbone voiture – Emission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 xml:space="preserve"> carbone SC Quad) + Emission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 xml:space="preserve"> carbone évités recharge solaires + Emission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 xml:space="preserve"> carbone évités 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grâce à l’</w:t>
      </w:r>
      <w:r w:rsidRPr="00B03849">
        <w:rPr>
          <w:rFonts w:ascii="Arial" w:eastAsia="Times New Roman" w:hAnsi="Arial" w:cs="Arial"/>
          <w:kern w:val="0"/>
          <w:lang w:eastAsia="fr-FR"/>
          <w14:ligatures w14:val="none"/>
        </w:rPr>
        <w:t>autoconsommation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surplus solaire</w:t>
      </w:r>
    </w:p>
    <w:p w14:paraId="18FABC7F" w14:textId="77777777" w:rsidR="00FE6965" w:rsidRDefault="00FE6965" w:rsidP="00FE696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Hypothèses : </w:t>
      </w:r>
    </w:p>
    <w:p w14:paraId="661E0729" w14:textId="77777777" w:rsidR="00FE6965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Consommation essence voiture thermique = 7L / 100 KM – 2 EUR / L</w:t>
      </w:r>
    </w:p>
    <w:p w14:paraId="2905A47C" w14:textId="77777777" w:rsidR="00FE6965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Cout entretien voiture thermique = 350 EUR / an</w:t>
      </w:r>
    </w:p>
    <w:p w14:paraId="5883F4CC" w14:textId="77777777" w:rsidR="00FE6965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Cout entretien Solar Commuter Quad = 50 EUR / an</w:t>
      </w:r>
    </w:p>
    <w:p w14:paraId="59532873" w14:textId="77777777" w:rsidR="00FE6965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F770F5">
        <w:rPr>
          <w:rFonts w:ascii="Arial" w:eastAsia="Times New Roman" w:hAnsi="Arial" w:cs="Arial"/>
          <w:kern w:val="0"/>
          <w:lang w:eastAsia="fr-FR"/>
          <w14:ligatures w14:val="none"/>
        </w:rPr>
        <w:t>Couts du kWh France = 0.25 EUR / KWH</w:t>
      </w:r>
    </w:p>
    <w:p w14:paraId="6643A4A8" w14:textId="77777777" w:rsidR="00FE6965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val="en-GB" w:eastAsia="fr-FR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lang w:val="en-GB" w:eastAsia="fr-FR"/>
          <w14:ligatures w14:val="none"/>
        </w:rPr>
        <w:t>E</w:t>
      </w:r>
      <w:r w:rsidRPr="00C904FE">
        <w:rPr>
          <w:rFonts w:ascii="Arial" w:eastAsia="Times New Roman" w:hAnsi="Arial" w:cs="Arial"/>
          <w:kern w:val="0"/>
          <w:lang w:val="en-GB" w:eastAsia="fr-FR"/>
          <w14:ligatures w14:val="none"/>
        </w:rPr>
        <w:t>mpreinte</w:t>
      </w:r>
      <w:proofErr w:type="spellEnd"/>
      <w:r w:rsidRPr="00C904FE">
        <w:rPr>
          <w:rFonts w:ascii="Arial" w:eastAsia="Times New Roman" w:hAnsi="Arial" w:cs="Arial"/>
          <w:kern w:val="0"/>
          <w:lang w:val="en-GB" w:eastAsia="fr-FR"/>
          <w14:ligatures w14:val="none"/>
        </w:rPr>
        <w:t xml:space="preserve"> </w:t>
      </w:r>
      <w:proofErr w:type="spellStart"/>
      <w:r w:rsidRPr="00C904FE">
        <w:rPr>
          <w:rFonts w:ascii="Arial" w:eastAsia="Times New Roman" w:hAnsi="Arial" w:cs="Arial"/>
          <w:kern w:val="0"/>
          <w:lang w:val="en-GB" w:eastAsia="fr-FR"/>
          <w14:ligatures w14:val="none"/>
        </w:rPr>
        <w:t>carbone</w:t>
      </w:r>
      <w:proofErr w:type="spellEnd"/>
      <w:r w:rsidRPr="00C904FE">
        <w:rPr>
          <w:rFonts w:ascii="Arial" w:eastAsia="Times New Roman" w:hAnsi="Arial" w:cs="Arial"/>
          <w:kern w:val="0"/>
          <w:lang w:val="en-GB" w:eastAsia="fr-FR"/>
          <w14:ligatures w14:val="none"/>
        </w:rPr>
        <w:t xml:space="preserve"> KWH France = 0.09 Kg CO2 / KWH</w:t>
      </w:r>
    </w:p>
    <w:p w14:paraId="4C10BBEA" w14:textId="77777777" w:rsidR="00FE6965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7E510C">
        <w:rPr>
          <w:rFonts w:ascii="Arial" w:eastAsia="Times New Roman" w:hAnsi="Arial" w:cs="Arial"/>
          <w:kern w:val="0"/>
          <w:lang w:eastAsia="fr-FR"/>
          <w14:ligatures w14:val="none"/>
        </w:rPr>
        <w:t xml:space="preserve">Empreinte carbone voiture thermique : 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0.22 KG CO2 / KM</w:t>
      </w:r>
    </w:p>
    <w:p w14:paraId="3905D5A7" w14:textId="77777777" w:rsidR="00FE6965" w:rsidRPr="007E510C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Empreinte carbone Solar Commuter Quad = 0.026 KG CO2 / KM</w:t>
      </w:r>
    </w:p>
    <w:p w14:paraId="2FE232BF" w14:textId="77777777" w:rsidR="00FE6965" w:rsidRPr="004E156B" w:rsidRDefault="00FE6965" w:rsidP="00FE6965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4E156B">
        <w:rPr>
          <w:rFonts w:ascii="Arial" w:eastAsia="Times New Roman" w:hAnsi="Arial" w:cs="Arial"/>
          <w:kern w:val="0"/>
          <w:lang w:eastAsia="fr-FR"/>
          <w14:ligatures w14:val="none"/>
        </w:rPr>
        <w:t xml:space="preserve">75% d’intensité utilisation solaire 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>(données production Clermont Ferrand * 0.75)</w:t>
      </w:r>
    </w:p>
    <w:p w14:paraId="06A5797D" w14:textId="61A42F74" w:rsidR="00FE6965" w:rsidRPr="00735C3F" w:rsidRDefault="00FE6965" w:rsidP="00FE696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noProof/>
          <w:kern w:val="0"/>
          <w:lang w:eastAsia="fr-FR"/>
          <w14:ligatures w14:val="none"/>
        </w:rPr>
        <w:drawing>
          <wp:inline distT="0" distB="0" distL="0" distR="0" wp14:anchorId="15325B32" wp14:editId="2CC89239">
            <wp:extent cx="4674325" cy="2785633"/>
            <wp:effectExtent l="0" t="0" r="0" b="0"/>
            <wp:docPr id="14566713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97" cy="279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6965" w:rsidRPr="0073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86B38" w14:textId="77777777" w:rsidR="00420021" w:rsidRDefault="00420021" w:rsidP="00585258">
      <w:pPr>
        <w:spacing w:after="0" w:line="240" w:lineRule="auto"/>
      </w:pPr>
      <w:r>
        <w:separator/>
      </w:r>
    </w:p>
  </w:endnote>
  <w:endnote w:type="continuationSeparator" w:id="0">
    <w:p w14:paraId="265667C3" w14:textId="77777777" w:rsidR="00420021" w:rsidRDefault="00420021" w:rsidP="0058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roman"/>
    <w:pitch w:val="default"/>
  </w:font>
  <w:font w:name="Aptos Display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255DB" w14:textId="77777777" w:rsidR="00420021" w:rsidRDefault="00420021" w:rsidP="00585258">
      <w:pPr>
        <w:spacing w:after="0" w:line="240" w:lineRule="auto"/>
      </w:pPr>
      <w:r>
        <w:separator/>
      </w:r>
    </w:p>
  </w:footnote>
  <w:footnote w:type="continuationSeparator" w:id="0">
    <w:p w14:paraId="351D89B7" w14:textId="77777777" w:rsidR="00420021" w:rsidRDefault="00420021" w:rsidP="0058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459F4"/>
    <w:multiLevelType w:val="multilevel"/>
    <w:tmpl w:val="EF98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19D6"/>
    <w:multiLevelType w:val="multilevel"/>
    <w:tmpl w:val="88B61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06011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17F08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96D09"/>
    <w:multiLevelType w:val="hybridMultilevel"/>
    <w:tmpl w:val="610097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431F9"/>
    <w:multiLevelType w:val="hybridMultilevel"/>
    <w:tmpl w:val="AD1CBDE6"/>
    <w:lvl w:ilvl="0" w:tplc="AED21C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52D4D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92970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E39A2"/>
    <w:multiLevelType w:val="hybridMultilevel"/>
    <w:tmpl w:val="F342B33E"/>
    <w:lvl w:ilvl="0" w:tplc="2B8C0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36B9E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B4419"/>
    <w:multiLevelType w:val="hybridMultilevel"/>
    <w:tmpl w:val="CC98828C"/>
    <w:lvl w:ilvl="0" w:tplc="5EFEC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0304"/>
    <w:multiLevelType w:val="hybridMultilevel"/>
    <w:tmpl w:val="C57CC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540"/>
    <w:multiLevelType w:val="hybridMultilevel"/>
    <w:tmpl w:val="11D2E1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C5D7E"/>
    <w:multiLevelType w:val="hybridMultilevel"/>
    <w:tmpl w:val="4894BA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CF4A4C"/>
    <w:multiLevelType w:val="hybridMultilevel"/>
    <w:tmpl w:val="0F16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019E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D2D4B"/>
    <w:multiLevelType w:val="hybridMultilevel"/>
    <w:tmpl w:val="7B920CAE"/>
    <w:lvl w:ilvl="0" w:tplc="F898A6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531F4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E5A2E"/>
    <w:multiLevelType w:val="hybridMultilevel"/>
    <w:tmpl w:val="C40A2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B7C00"/>
    <w:multiLevelType w:val="multilevel"/>
    <w:tmpl w:val="215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C7573"/>
    <w:multiLevelType w:val="multilevel"/>
    <w:tmpl w:val="54EC3A5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124311">
    <w:abstractNumId w:val="20"/>
  </w:num>
  <w:num w:numId="2" w16cid:durableId="1847866506">
    <w:abstractNumId w:val="5"/>
  </w:num>
  <w:num w:numId="3" w16cid:durableId="1288198799">
    <w:abstractNumId w:val="1"/>
  </w:num>
  <w:num w:numId="4" w16cid:durableId="1815296540">
    <w:abstractNumId w:val="0"/>
  </w:num>
  <w:num w:numId="5" w16cid:durableId="787624275">
    <w:abstractNumId w:val="16"/>
  </w:num>
  <w:num w:numId="6" w16cid:durableId="1231766010">
    <w:abstractNumId w:val="12"/>
  </w:num>
  <w:num w:numId="7" w16cid:durableId="537082164">
    <w:abstractNumId w:val="11"/>
  </w:num>
  <w:num w:numId="8" w16cid:durableId="1789353591">
    <w:abstractNumId w:val="13"/>
  </w:num>
  <w:num w:numId="9" w16cid:durableId="817498536">
    <w:abstractNumId w:val="3"/>
  </w:num>
  <w:num w:numId="10" w16cid:durableId="280649672">
    <w:abstractNumId w:val="15"/>
  </w:num>
  <w:num w:numId="11" w16cid:durableId="2141069685">
    <w:abstractNumId w:val="9"/>
  </w:num>
  <w:num w:numId="12" w16cid:durableId="243337976">
    <w:abstractNumId w:val="2"/>
  </w:num>
  <w:num w:numId="13" w16cid:durableId="1361931887">
    <w:abstractNumId w:val="17"/>
  </w:num>
  <w:num w:numId="14" w16cid:durableId="995962414">
    <w:abstractNumId w:val="19"/>
  </w:num>
  <w:num w:numId="15" w16cid:durableId="1452548629">
    <w:abstractNumId w:val="7"/>
  </w:num>
  <w:num w:numId="16" w16cid:durableId="460343811">
    <w:abstractNumId w:val="8"/>
  </w:num>
  <w:num w:numId="17" w16cid:durableId="591814002">
    <w:abstractNumId w:val="10"/>
  </w:num>
  <w:num w:numId="18" w16cid:durableId="1549948050">
    <w:abstractNumId w:val="6"/>
  </w:num>
  <w:num w:numId="19" w16cid:durableId="2135170919">
    <w:abstractNumId w:val="18"/>
  </w:num>
  <w:num w:numId="20" w16cid:durableId="247691340">
    <w:abstractNumId w:val="14"/>
  </w:num>
  <w:num w:numId="21" w16cid:durableId="1739401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1B"/>
    <w:rsid w:val="0000051C"/>
    <w:rsid w:val="00034F2F"/>
    <w:rsid w:val="000442DB"/>
    <w:rsid w:val="00084479"/>
    <w:rsid w:val="00093528"/>
    <w:rsid w:val="000B3CF9"/>
    <w:rsid w:val="000B531A"/>
    <w:rsid w:val="000C4473"/>
    <w:rsid w:val="0014431C"/>
    <w:rsid w:val="0014450C"/>
    <w:rsid w:val="00145F33"/>
    <w:rsid w:val="0015214F"/>
    <w:rsid w:val="0017538A"/>
    <w:rsid w:val="00175611"/>
    <w:rsid w:val="001B1A01"/>
    <w:rsid w:val="001F564C"/>
    <w:rsid w:val="002375C7"/>
    <w:rsid w:val="00263C31"/>
    <w:rsid w:val="00264198"/>
    <w:rsid w:val="00291032"/>
    <w:rsid w:val="002D15D0"/>
    <w:rsid w:val="00315CAC"/>
    <w:rsid w:val="00324B22"/>
    <w:rsid w:val="0035421A"/>
    <w:rsid w:val="00385694"/>
    <w:rsid w:val="003D08D0"/>
    <w:rsid w:val="003E0847"/>
    <w:rsid w:val="003E2BB3"/>
    <w:rsid w:val="00413DBB"/>
    <w:rsid w:val="00420021"/>
    <w:rsid w:val="004264A5"/>
    <w:rsid w:val="00442F88"/>
    <w:rsid w:val="0044321E"/>
    <w:rsid w:val="00461421"/>
    <w:rsid w:val="0046242F"/>
    <w:rsid w:val="004A5EA1"/>
    <w:rsid w:val="004B75F0"/>
    <w:rsid w:val="004D1250"/>
    <w:rsid w:val="004E156B"/>
    <w:rsid w:val="00505740"/>
    <w:rsid w:val="00562AE5"/>
    <w:rsid w:val="0057641B"/>
    <w:rsid w:val="00585258"/>
    <w:rsid w:val="005900A3"/>
    <w:rsid w:val="005972CC"/>
    <w:rsid w:val="005F4685"/>
    <w:rsid w:val="00620CD9"/>
    <w:rsid w:val="00627EE8"/>
    <w:rsid w:val="0066743C"/>
    <w:rsid w:val="006E2D76"/>
    <w:rsid w:val="006E3A54"/>
    <w:rsid w:val="00725AB6"/>
    <w:rsid w:val="00735C3F"/>
    <w:rsid w:val="00740AD2"/>
    <w:rsid w:val="0075419B"/>
    <w:rsid w:val="00791343"/>
    <w:rsid w:val="007E510C"/>
    <w:rsid w:val="0082016A"/>
    <w:rsid w:val="00830CE0"/>
    <w:rsid w:val="00840A08"/>
    <w:rsid w:val="00862FB1"/>
    <w:rsid w:val="008B4179"/>
    <w:rsid w:val="008B5CBF"/>
    <w:rsid w:val="008E11E0"/>
    <w:rsid w:val="00933812"/>
    <w:rsid w:val="009403C3"/>
    <w:rsid w:val="00965D53"/>
    <w:rsid w:val="009776E7"/>
    <w:rsid w:val="009B5613"/>
    <w:rsid w:val="009D666F"/>
    <w:rsid w:val="00AF28B2"/>
    <w:rsid w:val="00AF4C6F"/>
    <w:rsid w:val="00B03849"/>
    <w:rsid w:val="00B05CA0"/>
    <w:rsid w:val="00B26320"/>
    <w:rsid w:val="00B7613D"/>
    <w:rsid w:val="00B77B6D"/>
    <w:rsid w:val="00B862E6"/>
    <w:rsid w:val="00BA64F5"/>
    <w:rsid w:val="00BB012F"/>
    <w:rsid w:val="00BD60F9"/>
    <w:rsid w:val="00BD7ABD"/>
    <w:rsid w:val="00C0324C"/>
    <w:rsid w:val="00C20CF0"/>
    <w:rsid w:val="00C61F48"/>
    <w:rsid w:val="00C904FE"/>
    <w:rsid w:val="00CA10AD"/>
    <w:rsid w:val="00CC3BC2"/>
    <w:rsid w:val="00CC5DBE"/>
    <w:rsid w:val="00CF429C"/>
    <w:rsid w:val="00D1453C"/>
    <w:rsid w:val="00D4242E"/>
    <w:rsid w:val="00D554B3"/>
    <w:rsid w:val="00D55E92"/>
    <w:rsid w:val="00D717EC"/>
    <w:rsid w:val="00D7485D"/>
    <w:rsid w:val="00DB102A"/>
    <w:rsid w:val="00DC149A"/>
    <w:rsid w:val="00E63D53"/>
    <w:rsid w:val="00E63F69"/>
    <w:rsid w:val="00E75C95"/>
    <w:rsid w:val="00E81996"/>
    <w:rsid w:val="00EA792E"/>
    <w:rsid w:val="00EF2F16"/>
    <w:rsid w:val="00F02C1F"/>
    <w:rsid w:val="00F11DBB"/>
    <w:rsid w:val="00F50457"/>
    <w:rsid w:val="00F61226"/>
    <w:rsid w:val="00F6662B"/>
    <w:rsid w:val="00F707A2"/>
    <w:rsid w:val="00F770F5"/>
    <w:rsid w:val="00F95CBC"/>
    <w:rsid w:val="00FA1BCD"/>
    <w:rsid w:val="00FB2790"/>
    <w:rsid w:val="00FB7852"/>
    <w:rsid w:val="00FD458D"/>
    <w:rsid w:val="00FD7D4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25687"/>
  <w15:docId w15:val="{812B20E6-9906-4110-8D5C-7F95D3FD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AC"/>
  </w:style>
  <w:style w:type="paragraph" w:styleId="Titre1">
    <w:name w:val="heading 1"/>
    <w:basedOn w:val="Normal"/>
    <w:next w:val="Normal"/>
    <w:link w:val="Titre1Car"/>
    <w:uiPriority w:val="9"/>
    <w:qFormat/>
    <w:rsid w:val="005764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64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64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64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64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64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64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64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64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4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764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764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7641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7641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7641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7641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7641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7641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764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6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64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764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764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7641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7641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7641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64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641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7641B"/>
    <w:rPr>
      <w:b/>
      <w:bCs/>
      <w:smallCaps/>
      <w:color w:val="0F4761" w:themeColor="accent1" w:themeShade="BF"/>
      <w:spacing w:val="5"/>
    </w:rPr>
  </w:style>
  <w:style w:type="character" w:styleId="lev">
    <w:name w:val="Strong"/>
    <w:basedOn w:val="Policepardfaut"/>
    <w:uiPriority w:val="22"/>
    <w:qFormat/>
    <w:rsid w:val="0093381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8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258"/>
  </w:style>
  <w:style w:type="paragraph" w:styleId="Pieddepage">
    <w:name w:val="footer"/>
    <w:basedOn w:val="Normal"/>
    <w:link w:val="PieddepageCar"/>
    <w:uiPriority w:val="99"/>
    <w:unhideWhenUsed/>
    <w:rsid w:val="0058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258"/>
  </w:style>
  <w:style w:type="paragraph" w:styleId="En-ttedetabledesmatires">
    <w:name w:val="TOC Heading"/>
    <w:basedOn w:val="Titre1"/>
    <w:next w:val="Normal"/>
    <w:uiPriority w:val="39"/>
    <w:unhideWhenUsed/>
    <w:qFormat/>
    <w:rsid w:val="00CC5DBE"/>
    <w:pPr>
      <w:spacing w:before="240" w:after="0"/>
      <w:outlineLvl w:val="9"/>
    </w:pPr>
    <w:rPr>
      <w:kern w:val="0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26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134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D38A-1EB1-40F0-AF2C-1E044729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Gignoux</dc:creator>
  <cp:keywords/>
  <dc:description/>
  <cp:lastModifiedBy>Eric Gignoux</cp:lastModifiedBy>
  <cp:revision>3</cp:revision>
  <dcterms:created xsi:type="dcterms:W3CDTF">2024-07-04T08:43:00Z</dcterms:created>
  <dcterms:modified xsi:type="dcterms:W3CDTF">2024-07-04T08:47:00Z</dcterms:modified>
</cp:coreProperties>
</file>